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0B1A" w14:textId="77777777" w:rsidR="00451FDE" w:rsidRDefault="005A70E1" w:rsidP="00C528CC">
      <w:pPr>
        <w:pStyle w:val="1"/>
        <w:rPr>
          <w:rStyle w:val="Formatvorlage1"/>
          <w:rFonts w:asciiTheme="minorHAnsi" w:hAnsiTheme="minorHAnsi" w:cstheme="minorHAnsi"/>
          <w:sz w:val="36"/>
          <w:lang w:val="en-US"/>
        </w:rPr>
      </w:pPr>
      <w:r>
        <w:rPr>
          <w:noProof/>
          <w:lang w:val="en-IN" w:eastAsia="en-IN"/>
        </w:rPr>
        <w:drawing>
          <wp:anchor distT="0" distB="0" distL="114300" distR="114300" simplePos="0" relativeHeight="251658240" behindDoc="0" locked="0" layoutInCell="1" allowOverlap="1" wp14:anchorId="02635593" wp14:editId="37D68DA4">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36"/>
          <w:lang w:val="en-US"/>
        </w:rPr>
        <w:t>Publishing Agreement</w:t>
      </w:r>
      <w:r>
        <w:rPr>
          <w:rFonts w:asciiTheme="minorHAnsi" w:hAnsiTheme="minorHAnsi" w:cstheme="minorHAnsi"/>
          <w:sz w:val="36"/>
          <w:lang w:val="en-US"/>
        </w:rPr>
        <w:br/>
      </w:r>
      <w:r>
        <w:rPr>
          <w:lang w:val="en-GB"/>
        </w:rPr>
        <w:t>for Contributions in Collected Works</w:t>
      </w:r>
    </w:p>
    <w:p w14:paraId="5CF2C746" w14:textId="77777777" w:rsidR="00451FDE" w:rsidRDefault="00451FDE">
      <w:pPr>
        <w:spacing w:line="300" w:lineRule="auto"/>
        <w:rPr>
          <w:rFonts w:asciiTheme="minorHAnsi" w:hAnsiTheme="minorHAnsi" w:cstheme="minorHAnsi"/>
          <w:lang w:val="en-US"/>
        </w:rPr>
      </w:pPr>
    </w:p>
    <w:p w14:paraId="68D3B8AC"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1D607C12" w14:textId="77777777" w:rsidR="00451FDE" w:rsidRDefault="00451FDE">
      <w:pPr>
        <w:widowControl w:val="0"/>
        <w:spacing w:line="300" w:lineRule="auto"/>
        <w:rPr>
          <w:rFonts w:asciiTheme="minorHAnsi" w:hAnsiTheme="minorHAnsi" w:cstheme="minorHAnsi"/>
          <w:lang w:val="en-US"/>
        </w:rPr>
      </w:pPr>
    </w:p>
    <w:p w14:paraId="1984935C"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E15FB9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C61175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33C9FFE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76B5F3D" w14:textId="77777777" w:rsidR="00451FDE" w:rsidRDefault="00451FDE">
      <w:pPr>
        <w:tabs>
          <w:tab w:val="left" w:pos="567"/>
        </w:tabs>
        <w:rPr>
          <w:rFonts w:asciiTheme="minorHAnsi" w:eastAsia="Calibri" w:hAnsiTheme="minorHAnsi" w:cstheme="minorHAnsi"/>
          <w:lang w:val="en-GB"/>
        </w:rPr>
      </w:pPr>
    </w:p>
    <w:p w14:paraId="1D319FF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3D1D943" w14:textId="77777777" w:rsidR="00451FDE" w:rsidRDefault="00451FDE">
      <w:pPr>
        <w:tabs>
          <w:tab w:val="left" w:pos="567"/>
        </w:tabs>
        <w:rPr>
          <w:rFonts w:asciiTheme="minorHAnsi" w:eastAsia="Calibri" w:hAnsiTheme="minorHAnsi" w:cstheme="minorHAnsi"/>
          <w:lang w:val="en-GB"/>
        </w:rPr>
      </w:pPr>
    </w:p>
    <w:p w14:paraId="7488AAB7" w14:textId="16EF919B" w:rsidR="00451FDE" w:rsidRDefault="005D5B73">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17F48">
            <w:rPr>
              <w:rFonts w:asciiTheme="minorHAnsi" w:eastAsia="Calibri" w:hAnsiTheme="minorHAnsi" w:cstheme="minorHAnsi"/>
              <w:lang w:val="en-GB"/>
            </w:rPr>
            <w:t>Springer Nature Switzerland AG</w:t>
          </w:r>
        </w:sdtContent>
      </w:sdt>
    </w:p>
    <w:p w14:paraId="3A0A2458" w14:textId="77777777" w:rsidR="00451FDE" w:rsidRDefault="005D5B73">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showingPlcHd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A70E1">
            <w:rPr>
              <w:rStyle w:val="ad"/>
              <w:rFonts w:asciiTheme="minorHAnsi" w:eastAsiaTheme="minorHAnsi" w:hAnsiTheme="minorHAnsi" w:cstheme="minorHAnsi"/>
              <w:lang w:val="en-GB"/>
            </w:rPr>
            <w:t>Choose an item.</w:t>
          </w:r>
        </w:sdtContent>
      </w:sdt>
    </w:p>
    <w:p w14:paraId="3221132B" w14:textId="77777777" w:rsidR="00451FDE" w:rsidRDefault="00451FDE">
      <w:pPr>
        <w:spacing w:line="280" w:lineRule="exact"/>
        <w:rPr>
          <w:rFonts w:asciiTheme="minorHAnsi" w:hAnsiTheme="minorHAnsi" w:cstheme="minorHAnsi"/>
          <w:lang w:val="en-US"/>
        </w:rPr>
      </w:pPr>
    </w:p>
    <w:p w14:paraId="39E9323C" w14:textId="77777777" w:rsidR="00451FDE" w:rsidRDefault="00451FDE">
      <w:pPr>
        <w:tabs>
          <w:tab w:val="left" w:pos="567"/>
        </w:tabs>
        <w:rPr>
          <w:rFonts w:asciiTheme="minorHAnsi" w:eastAsia="Calibri" w:hAnsiTheme="minorHAnsi" w:cstheme="minorHAnsi"/>
          <w:lang w:val="en-GB"/>
        </w:rPr>
      </w:pPr>
    </w:p>
    <w:p w14:paraId="42390A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21650BDA" w14:textId="77777777" w:rsidR="00451FDE" w:rsidRDefault="00451FDE">
      <w:pPr>
        <w:tabs>
          <w:tab w:val="left" w:pos="567"/>
        </w:tabs>
        <w:rPr>
          <w:rFonts w:asciiTheme="minorHAnsi" w:eastAsia="Calibri" w:hAnsiTheme="minorHAnsi" w:cstheme="minorHAnsi"/>
          <w:lang w:val="en-GB"/>
        </w:rPr>
      </w:pPr>
    </w:p>
    <w:p w14:paraId="3C84774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40E174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44F8B88" w14:textId="77777777" w:rsidR="00451FDE" w:rsidRDefault="00451FDE">
      <w:pPr>
        <w:tabs>
          <w:tab w:val="left" w:pos="567"/>
        </w:tabs>
        <w:rPr>
          <w:rFonts w:asciiTheme="minorHAnsi" w:eastAsia="Calibri" w:hAnsiTheme="minorHAnsi" w:cstheme="minorHAnsi"/>
          <w:lang w:val="en-GB"/>
        </w:rPr>
      </w:pPr>
    </w:p>
    <w:p w14:paraId="1AA8954F" w14:textId="77777777" w:rsidR="00451FDE" w:rsidRDefault="00451FDE">
      <w:pPr>
        <w:tabs>
          <w:tab w:val="left" w:pos="567"/>
        </w:tabs>
        <w:rPr>
          <w:rFonts w:asciiTheme="minorHAnsi" w:hAnsiTheme="minorHAnsi" w:cstheme="minorHAnsi"/>
          <w:bCs/>
          <w:lang w:val="en-GB"/>
        </w:rPr>
      </w:pPr>
    </w:p>
    <w:p w14:paraId="5074B451"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6880A96B" w14:textId="77777777" w:rsidR="00B06C83" w:rsidRDefault="00B06C83" w:rsidP="00917F48">
      <w:pPr>
        <w:pBdr>
          <w:top w:val="nil"/>
          <w:left w:val="nil"/>
          <w:bottom w:val="nil"/>
          <w:right w:val="nil"/>
          <w:between w:val="nil"/>
        </w:pBdr>
        <w:tabs>
          <w:tab w:val="left" w:pos="567"/>
        </w:tabs>
        <w:snapToGrid w:val="0"/>
        <w:spacing w:before="120" w:after="120"/>
        <w:rPr>
          <w:rFonts w:asciiTheme="minorHAnsi" w:eastAsia="Calibri" w:hAnsiTheme="minorHAnsi" w:cs="Calibri"/>
          <w:b/>
        </w:rPr>
      </w:pPr>
      <w:r w:rsidRPr="00B06C83">
        <w:rPr>
          <w:rFonts w:asciiTheme="minorHAnsi" w:hAnsiTheme="minorHAnsi" w:cs="Calibri"/>
          <w:b/>
        </w:rPr>
        <w:t>Advances in Intelligent Networking and Collaborative Systems</w:t>
      </w:r>
      <w:r w:rsidRPr="00B06C83">
        <w:rPr>
          <w:rFonts w:asciiTheme="minorHAnsi" w:eastAsia="Calibri" w:hAnsiTheme="minorHAnsi" w:cs="Calibri"/>
          <w:b/>
        </w:rPr>
        <w:t xml:space="preserve"> </w:t>
      </w:r>
      <w:r>
        <w:rPr>
          <w:rFonts w:asciiTheme="minorHAnsi" w:eastAsia="Calibri" w:hAnsiTheme="minorHAnsi" w:cs="Calibri"/>
          <w:b/>
        </w:rPr>
        <w:t xml:space="preserve">: </w:t>
      </w:r>
      <w:r w:rsidRPr="00B06C83">
        <w:rPr>
          <w:rFonts w:asciiTheme="minorHAnsi" w:eastAsia="Calibri" w:hAnsiTheme="minorHAnsi" w:cs="Calibri"/>
          <w:b/>
        </w:rPr>
        <w:t xml:space="preserve">The 14th International Conference on Intelligent Networking and Collaborative Systems (INCoS-2022) </w:t>
      </w:r>
    </w:p>
    <w:p w14:paraId="519CA1A9" w14:textId="70542E49" w:rsidR="00745E8E" w:rsidRDefault="005A70E1" w:rsidP="00917F48">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p>
    <w:p w14:paraId="6C8158F1" w14:textId="5B236F7B" w:rsidR="00D23008" w:rsidRDefault="005A70E1" w:rsidP="00917F48">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Pr>
          <w:rFonts w:asciiTheme="minorHAnsi" w:eastAsia="Calibri" w:hAnsiTheme="minorHAnsi" w:cstheme="minorHAnsi"/>
          <w:lang w:val="en-GB"/>
        </w:rPr>
        <w:br/>
        <w:t xml:space="preserve">edited </w:t>
      </w:r>
      <w:r w:rsidRPr="000E3B53">
        <w:rPr>
          <w:rFonts w:asciiTheme="minorHAnsi" w:hAnsiTheme="minorHAnsi" w:cs="Calibri"/>
          <w:b/>
        </w:rPr>
        <w:t>by</w:t>
      </w:r>
      <w:r w:rsidR="00D9148F" w:rsidRPr="000E3B53">
        <w:rPr>
          <w:rFonts w:asciiTheme="minorHAnsi" w:hAnsiTheme="minorHAnsi" w:cs="Calibri"/>
          <w:b/>
        </w:rPr>
        <w:t xml:space="preserve"> </w:t>
      </w:r>
      <w:r w:rsidR="00B06C83" w:rsidRPr="00B06C83">
        <w:rPr>
          <w:rFonts w:asciiTheme="minorHAnsi" w:hAnsiTheme="minorHAnsi" w:cs="Calibri"/>
          <w:b/>
        </w:rPr>
        <w:t>Leonard</w:t>
      </w:r>
      <w:r w:rsidR="00B06C83">
        <w:rPr>
          <w:rFonts w:asciiTheme="minorHAnsi" w:hAnsiTheme="minorHAnsi" w:cs="Calibri"/>
          <w:b/>
        </w:rPr>
        <w:t xml:space="preserve"> </w:t>
      </w:r>
      <w:r w:rsidR="00B06C83" w:rsidRPr="00B06C83">
        <w:rPr>
          <w:rFonts w:asciiTheme="minorHAnsi" w:hAnsiTheme="minorHAnsi" w:cs="Calibri"/>
          <w:b/>
        </w:rPr>
        <w:t>Barolli</w:t>
      </w:r>
      <w:r w:rsidR="00B06C83">
        <w:rPr>
          <w:rFonts w:asciiTheme="minorHAnsi" w:hAnsiTheme="minorHAnsi" w:cs="Calibri"/>
          <w:b/>
        </w:rPr>
        <w:t xml:space="preserve">, </w:t>
      </w:r>
      <w:r w:rsidR="00B06C83" w:rsidRPr="00B06C83">
        <w:rPr>
          <w:rFonts w:asciiTheme="minorHAnsi" w:hAnsiTheme="minorHAnsi" w:cs="Calibri"/>
          <w:b/>
        </w:rPr>
        <w:t>Hiroyoshi</w:t>
      </w:r>
      <w:r w:rsidR="00B06C83">
        <w:rPr>
          <w:rFonts w:asciiTheme="minorHAnsi" w:hAnsiTheme="minorHAnsi" w:cs="Calibri"/>
          <w:b/>
        </w:rPr>
        <w:t xml:space="preserve"> Miwa</w:t>
      </w:r>
    </w:p>
    <w:p w14:paraId="48F0A2DE" w14:textId="1759D65D" w:rsidR="00451FDE" w:rsidRDefault="005A70E1" w:rsidP="00917F48">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2A4F437" w14:textId="77777777" w:rsidR="00451FDE" w:rsidRDefault="00451FDE">
      <w:pPr>
        <w:tabs>
          <w:tab w:val="left" w:pos="567"/>
        </w:tabs>
        <w:rPr>
          <w:rFonts w:asciiTheme="minorHAnsi" w:hAnsiTheme="minorHAnsi" w:cstheme="minorHAnsi"/>
          <w:bCs/>
          <w:lang w:val="en-GB"/>
        </w:rPr>
      </w:pPr>
    </w:p>
    <w:p w14:paraId="1D39CC75"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4D655C40" w14:textId="77777777" w:rsidR="00451FDE" w:rsidRDefault="00451FDE">
      <w:pPr>
        <w:tabs>
          <w:tab w:val="left" w:pos="567"/>
        </w:tabs>
        <w:rPr>
          <w:rFonts w:asciiTheme="minorHAnsi" w:hAnsiTheme="minorHAnsi" w:cstheme="minorHAnsi"/>
          <w:lang w:val="en-GB"/>
        </w:rPr>
      </w:pPr>
    </w:p>
    <w:p w14:paraId="054D83B8" w14:textId="4C185DCF" w:rsidR="00451FDE" w:rsidRDefault="005A70E1" w:rsidP="00E91500">
      <w:pPr>
        <w:tabs>
          <w:tab w:val="left" w:pos="567"/>
        </w:tabs>
        <w:rPr>
          <w:rFonts w:asciiTheme="minorHAnsi" w:hAnsiTheme="minorHAnsi" w:cstheme="minorHAnsi"/>
          <w:lang w:val="en-US"/>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E91500" w:rsidRPr="00E91500">
        <w:rPr>
          <w:rFonts w:asciiTheme="minorHAnsi" w:hAnsiTheme="minorHAnsi" w:cs="Calibri"/>
          <w:b/>
        </w:rPr>
        <w:t>Lecture Notes in Networks and Systems</w:t>
      </w:r>
    </w:p>
    <w:p w14:paraId="09C2E710"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152713A7"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1729A20C"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333A5890"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60645A9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4F50BC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47D0D95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22E732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3B03D6B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theme="minorHAnsi"/>
          <w:szCs w:val="20"/>
        </w:rPr>
        <w:t>alterations</w:t>
      </w:r>
      <w:proofErr w:type="gramEnd"/>
      <w:r>
        <w:rPr>
          <w:rFonts w:asciiTheme="minorHAnsi" w:hAnsiTheme="minorHAnsi" w:cstheme="minorHAns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1D50EB8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4681A4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68C4917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580CAE16"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97F5C8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60CAAE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4F04A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FA9207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64EF6C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6E5F0FA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4FE788A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007331F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E5161EB"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7326584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114796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9830CE9"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239316F8"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CE4F72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6EA121E"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CC5F44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0138E01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7DF8E6A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cstheme="minorHAnsi"/>
          <w:szCs w:val="20"/>
        </w:rPr>
        <w:t>with</w:t>
      </w:r>
      <w:proofErr w:type="gramEnd"/>
      <w:r>
        <w:rPr>
          <w:rFonts w:asciiTheme="minorHAnsi" w:hAnsiTheme="minorHAnsi" w:cstheme="minorHAnsi"/>
          <w:szCs w:val="20"/>
        </w:rPr>
        <w:t>:</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0B6A0B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9415DE3"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BBB7E2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2E4140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12E0692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62E70C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7EAA69C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6AA9A49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91BAA2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055B01E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F64675D"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9DE24F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3CEAD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E098B5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F33C85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cstheme="minorHAnsi"/>
          <w:szCs w:val="20"/>
        </w:rPr>
        <w:t>undertakings</w:t>
      </w:r>
      <w:proofErr w:type="gramEnd"/>
      <w:r>
        <w:rPr>
          <w:rFonts w:asciiTheme="minorHAnsi" w:hAnsiTheme="minorHAnsi" w:cs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w:t>
      </w:r>
      <w:proofErr w:type="gramStart"/>
      <w:r>
        <w:rPr>
          <w:rFonts w:asciiTheme="minorHAnsi" w:hAnsiTheme="minorHAnsi" w:cstheme="minorHAnsi"/>
          <w:szCs w:val="20"/>
        </w:rPr>
        <w:t>Party</w:t>
      </w:r>
      <w:proofErr w:type="gramEnd"/>
      <w:r>
        <w:rPr>
          <w:rFonts w:asciiTheme="minorHAnsi" w:hAnsiTheme="minorHAnsi" w:cstheme="minorHAnsi"/>
          <w:szCs w:val="20"/>
        </w:rPr>
        <w:t xml:space="preserve"> the notice need only be provided to the address of the Corresponding Author. If the Author is the terminating Party a copy of the notice must also be sent to the Publisher's Legal Department located at Heidelberger Platz 3, 14197 Berlin, Germany.</w:t>
      </w:r>
    </w:p>
    <w:p w14:paraId="2099D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47FB8DA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ad"/>
              <w:rFonts w:asciiTheme="minorHAnsi" w:eastAsiaTheme="minorHAnsi" w:hAnsiTheme="minorHAnsi" w:cstheme="minorHAnsi"/>
              <w:szCs w:val="20"/>
            </w:rPr>
            <w:t>Choose an item.</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ad"/>
              <w:rFonts w:asciiTheme="minorHAnsi" w:hAnsiTheme="minorHAnsi" w:cstheme="minorHAnsi"/>
              <w:szCs w:val="20"/>
            </w:rPr>
            <w:t>Choose an item.</w:t>
          </w:r>
        </w:sdtContent>
      </w:sdt>
      <w:r>
        <w:rPr>
          <w:rFonts w:asciiTheme="minorHAnsi" w:hAnsiTheme="minorHAnsi" w:cstheme="minorHAnsi"/>
          <w:szCs w:val="20"/>
        </w:rPr>
        <w:t xml:space="preserve"> shall have the exclusive jurisdiction.</w:t>
      </w:r>
    </w:p>
    <w:p w14:paraId="18774B97"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39BB19A"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76F9414D"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34B1770" w14:textId="77777777" w:rsidR="00451FDE" w:rsidRDefault="00451FDE">
      <w:pPr>
        <w:keepLines/>
        <w:widowControl w:val="0"/>
        <w:spacing w:before="120" w:after="240" w:line="300" w:lineRule="auto"/>
        <w:rPr>
          <w:rFonts w:asciiTheme="minorHAnsi" w:hAnsiTheme="minorHAnsi"/>
          <w:lang w:val="en-GB"/>
        </w:rPr>
      </w:pPr>
    </w:p>
    <w:p w14:paraId="02CF1642" w14:textId="77777777" w:rsidR="00451FDE" w:rsidRDefault="00451FDE">
      <w:pPr>
        <w:keepLines/>
        <w:widowControl w:val="0"/>
        <w:spacing w:before="120" w:after="240" w:line="300" w:lineRule="auto"/>
        <w:rPr>
          <w:rFonts w:asciiTheme="minorHAnsi" w:eastAsia="Calibri" w:hAnsiTheme="minorHAnsi"/>
          <w:lang w:val="en-GB"/>
        </w:rPr>
      </w:pPr>
    </w:p>
    <w:p w14:paraId="5D958B0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D03C6CA"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4EE2128" w14:textId="77777777" w:rsidR="00451FDE" w:rsidRDefault="00451FDE">
      <w:pPr>
        <w:keepLines/>
        <w:widowControl w:val="0"/>
        <w:spacing w:before="120" w:after="240" w:line="300" w:lineRule="auto"/>
        <w:rPr>
          <w:rFonts w:asciiTheme="minorHAnsi" w:hAnsiTheme="minorHAnsi"/>
          <w:lang w:val="en-GB"/>
        </w:rPr>
      </w:pPr>
    </w:p>
    <w:p w14:paraId="5E7AB2F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310A8C" w14:textId="77777777" w:rsidR="00451FDE" w:rsidRDefault="00451FDE">
      <w:pPr>
        <w:widowControl w:val="0"/>
        <w:spacing w:before="120" w:after="240" w:line="300" w:lineRule="auto"/>
        <w:rPr>
          <w:rFonts w:asciiTheme="minorHAnsi" w:hAnsiTheme="minorHAnsi"/>
          <w:lang w:val="en-GB"/>
        </w:rPr>
      </w:pPr>
    </w:p>
    <w:p w14:paraId="086E5BA7"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77AD9F5" w14:textId="4910B46B" w:rsidR="00E91500" w:rsidRPr="00CB3C60" w:rsidRDefault="005A70E1" w:rsidP="00CB3C6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B06C83">
        <w:rPr>
          <w:rFonts w:ascii="Roboto" w:hAnsi="Roboto"/>
          <w:color w:val="363636"/>
          <w:sz w:val="18"/>
          <w:szCs w:val="18"/>
          <w:shd w:val="clear" w:color="auto" w:fill="FFFFFF"/>
        </w:rPr>
        <w:t>89171515</w:t>
      </w:r>
    </w:p>
    <w:p w14:paraId="0CBED164" w14:textId="1C6DA552"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 xml:space="preserve">GPU/PD/PS: </w:t>
      </w:r>
      <w:r w:rsidR="00917F48" w:rsidRPr="009A7DBF">
        <w:rPr>
          <w:rFonts w:asciiTheme="minorHAnsi" w:hAnsiTheme="minorHAnsi"/>
          <w:bCs/>
        </w:rPr>
        <w:t>3/32/</w:t>
      </w:r>
      <w:r w:rsidR="00E91500">
        <w:rPr>
          <w:rFonts w:asciiTheme="minorHAnsi" w:hAnsiTheme="minorHAnsi"/>
          <w:bCs/>
        </w:rPr>
        <w:t>458</w:t>
      </w:r>
    </w:p>
    <w:bookmarkEnd w:id="2"/>
    <w:p w14:paraId="0F7393E4"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5FFD4BE5"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135587A1"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5340F37E"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7DCA17F7"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4D064DD9"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5E56610"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4C891A53"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2C3C9EE"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C2678E3"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AF89CF8"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EAA9D5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EDC4" w14:textId="77777777" w:rsidR="005D5B73" w:rsidRDefault="005D5B73">
      <w:r>
        <w:separator/>
      </w:r>
    </w:p>
  </w:endnote>
  <w:endnote w:type="continuationSeparator" w:id="0">
    <w:p w14:paraId="65065A71" w14:textId="77777777" w:rsidR="005D5B73" w:rsidRDefault="005D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0385367"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CB3C60">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CB3C60">
              <w:rPr>
                <w:rFonts w:asciiTheme="minorHAnsi" w:hAnsiTheme="minorHAnsi" w:cstheme="minorHAnsi"/>
                <w:b/>
                <w:bCs/>
                <w:noProof/>
              </w:rPr>
              <w:t>10</w:t>
            </w:r>
            <w:r>
              <w:rPr>
                <w:rFonts w:asciiTheme="minorHAnsi" w:hAnsiTheme="minorHAnsi" w:cstheme="minorHAnsi"/>
                <w:b/>
                <w:bCs/>
              </w:rPr>
              <w:fldChar w:fldCharType="end"/>
            </w:r>
          </w:p>
        </w:sdtContent>
      </w:sdt>
    </w:sdtContent>
  </w:sdt>
  <w:p w14:paraId="7BE4623E"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0D18" w14:textId="77777777" w:rsidR="005D5B73" w:rsidRDefault="005D5B73">
      <w:r>
        <w:separator/>
      </w:r>
    </w:p>
  </w:footnote>
  <w:footnote w:type="continuationSeparator" w:id="0">
    <w:p w14:paraId="6C5F1BA9" w14:textId="77777777" w:rsidR="005D5B73" w:rsidRDefault="005D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560C9"/>
    <w:rsid w:val="000C6F30"/>
    <w:rsid w:val="000E3B53"/>
    <w:rsid w:val="000F6DDC"/>
    <w:rsid w:val="00157EDB"/>
    <w:rsid w:val="00186CBE"/>
    <w:rsid w:val="00254F83"/>
    <w:rsid w:val="002C4218"/>
    <w:rsid w:val="002E086D"/>
    <w:rsid w:val="002E7526"/>
    <w:rsid w:val="00376495"/>
    <w:rsid w:val="003C4C71"/>
    <w:rsid w:val="00451FDE"/>
    <w:rsid w:val="00513C62"/>
    <w:rsid w:val="005924F0"/>
    <w:rsid w:val="005A70E1"/>
    <w:rsid w:val="005D5B73"/>
    <w:rsid w:val="0067779B"/>
    <w:rsid w:val="00706E16"/>
    <w:rsid w:val="00736733"/>
    <w:rsid w:val="00745E8E"/>
    <w:rsid w:val="007559A5"/>
    <w:rsid w:val="007C0E9D"/>
    <w:rsid w:val="00885E86"/>
    <w:rsid w:val="008F6A62"/>
    <w:rsid w:val="009144F2"/>
    <w:rsid w:val="00917F48"/>
    <w:rsid w:val="00922EE4"/>
    <w:rsid w:val="009C2D80"/>
    <w:rsid w:val="00A25627"/>
    <w:rsid w:val="00A277E5"/>
    <w:rsid w:val="00A564D4"/>
    <w:rsid w:val="00A95613"/>
    <w:rsid w:val="00AB0D70"/>
    <w:rsid w:val="00B06C83"/>
    <w:rsid w:val="00B13733"/>
    <w:rsid w:val="00B21050"/>
    <w:rsid w:val="00B96C60"/>
    <w:rsid w:val="00BD0E5A"/>
    <w:rsid w:val="00C528CC"/>
    <w:rsid w:val="00C5435C"/>
    <w:rsid w:val="00C776AD"/>
    <w:rsid w:val="00CB3C60"/>
    <w:rsid w:val="00D23008"/>
    <w:rsid w:val="00D77D4D"/>
    <w:rsid w:val="00D9148F"/>
    <w:rsid w:val="00DE464E"/>
    <w:rsid w:val="00E15840"/>
    <w:rsid w:val="00E55463"/>
    <w:rsid w:val="00E91500"/>
    <w:rsid w:val="00EB6E38"/>
    <w:rsid w:val="00F66934"/>
    <w:rsid w:val="00FC32CC"/>
    <w:rsid w:val="00FE51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79A7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1">
    <w:name w:val="heading 1"/>
    <w:basedOn w:val="a"/>
    <w:next w:val="a"/>
    <w:link w:val="10"/>
    <w:uiPriority w:val="9"/>
    <w:qFormat/>
    <w:rsid w:val="00C528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フッター (文字)"/>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吹き出し (文字)"/>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 w:type="character" w:customStyle="1" w:styleId="10">
    <w:name w:val="見出し 1 (文字)"/>
    <w:basedOn w:val="a0"/>
    <w:link w:val="1"/>
    <w:uiPriority w:val="9"/>
    <w:rsid w:val="00C528CC"/>
    <w:rPr>
      <w:rFonts w:asciiTheme="majorHAnsi" w:eastAsiaTheme="majorEastAsia" w:hAnsiTheme="majorHAnsi" w:cstheme="majorBidi"/>
      <w:color w:val="2F5496"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2388">
      <w:bodyDiv w:val="1"/>
      <w:marLeft w:val="0"/>
      <w:marRight w:val="0"/>
      <w:marTop w:val="0"/>
      <w:marBottom w:val="0"/>
      <w:divBdr>
        <w:top w:val="none" w:sz="0" w:space="0" w:color="auto"/>
        <w:left w:val="none" w:sz="0" w:space="0" w:color="auto"/>
        <w:bottom w:val="none" w:sz="0" w:space="0" w:color="auto"/>
        <w:right w:val="none" w:sz="0" w:space="0" w:color="auto"/>
      </w:divBdr>
      <w:divsChild>
        <w:div w:id="307783692">
          <w:marLeft w:val="0"/>
          <w:marRight w:val="0"/>
          <w:marTop w:val="0"/>
          <w:marBottom w:val="0"/>
          <w:divBdr>
            <w:top w:val="none" w:sz="0" w:space="0" w:color="auto"/>
            <w:left w:val="none" w:sz="0" w:space="0" w:color="auto"/>
            <w:bottom w:val="none" w:sz="0" w:space="0" w:color="auto"/>
            <w:right w:val="none" w:sz="0" w:space="0" w:color="auto"/>
          </w:divBdr>
          <w:divsChild>
            <w:div w:id="610861617">
              <w:marLeft w:val="0"/>
              <w:marRight w:val="0"/>
              <w:marTop w:val="0"/>
              <w:marBottom w:val="0"/>
              <w:divBdr>
                <w:top w:val="none" w:sz="0" w:space="0" w:color="auto"/>
                <w:left w:val="none" w:sz="0" w:space="0" w:color="auto"/>
                <w:bottom w:val="none" w:sz="0" w:space="0" w:color="auto"/>
                <w:right w:val="none" w:sz="0" w:space="0" w:color="auto"/>
              </w:divBdr>
              <w:divsChild>
                <w:div w:id="158156058">
                  <w:marLeft w:val="0"/>
                  <w:marRight w:val="0"/>
                  <w:marTop w:val="0"/>
                  <w:marBottom w:val="0"/>
                  <w:divBdr>
                    <w:top w:val="none" w:sz="0" w:space="0" w:color="auto"/>
                    <w:left w:val="none" w:sz="0" w:space="0" w:color="auto"/>
                    <w:bottom w:val="none" w:sz="0" w:space="0" w:color="auto"/>
                    <w:right w:val="none" w:sz="0" w:space="0" w:color="auto"/>
                  </w:divBdr>
                  <w:divsChild>
                    <w:div w:id="216860776">
                      <w:marLeft w:val="0"/>
                      <w:marRight w:val="0"/>
                      <w:marTop w:val="0"/>
                      <w:marBottom w:val="0"/>
                      <w:divBdr>
                        <w:top w:val="none" w:sz="0" w:space="0" w:color="auto"/>
                        <w:left w:val="none" w:sz="0" w:space="0" w:color="auto"/>
                        <w:bottom w:val="none" w:sz="0" w:space="0" w:color="auto"/>
                        <w:right w:val="none" w:sz="0" w:space="0" w:color="auto"/>
                      </w:divBdr>
                      <w:divsChild>
                        <w:div w:id="420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1970AE"/>
    <w:rsid w:val="0022019E"/>
    <w:rsid w:val="00367D12"/>
    <w:rsid w:val="004C4B04"/>
    <w:rsid w:val="004F6263"/>
    <w:rsid w:val="007B5A96"/>
    <w:rsid w:val="008521C0"/>
    <w:rsid w:val="0086465C"/>
    <w:rsid w:val="00AD552D"/>
    <w:rsid w:val="00C809F9"/>
    <w:rsid w:val="00D0613F"/>
    <w:rsid w:val="00D07288"/>
    <w:rsid w:val="00DC3E9C"/>
    <w:rsid w:val="00EE2D1A"/>
    <w:rsid w:val="00FD6071"/>
    <w:rsid w:val="00FF4C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9EAB6635-68A7-432B-97E3-C9FBA4D4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2021-10-24T04:44:00Z</dcterms:created>
  <dcterms:modified xsi:type="dcterms:W3CDTF">2021-10-24T04:44:00Z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